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95" w:rsidRPr="007F1195" w:rsidRDefault="007F1195" w:rsidP="007F1195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7F1195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2023年硕士研究生招生复试调剂通知</w:t>
      </w:r>
    </w:p>
    <w:p w:rsidR="007F1195" w:rsidRPr="007F1195" w:rsidRDefault="007F1195" w:rsidP="007F1195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7F1195">
        <w:rPr>
          <w:rFonts w:ascii="宋体" w:eastAsia="宋体" w:hAnsi="宋体" w:cs="宋体"/>
          <w:color w:val="666666"/>
          <w:kern w:val="0"/>
          <w:szCs w:val="21"/>
        </w:rPr>
        <w:t>发布日期：2023-04-05    作者：学科建设办公室     来源：     点击：1327</w:t>
      </w:r>
    </w:p>
    <w:p w:rsidR="007F1195" w:rsidRPr="007F1195" w:rsidRDefault="007F1195" w:rsidP="007F1195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7F1195" w:rsidRPr="007F1195" w:rsidRDefault="007F1195" w:rsidP="007F1195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7F1195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7F1195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6</w:t>
      </w:r>
      <w:r w:rsidRPr="007F1195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9</w:t>
      </w:r>
      <w:r w:rsidRPr="007F1195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3</w:t>
      </w:r>
      <w:r w:rsidRPr="007F1195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0-4</w:t>
      </w:r>
      <w:r w:rsidRPr="007F1195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6</w:t>
      </w:r>
      <w:r w:rsidRPr="007F1195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21</w:t>
      </w:r>
      <w:r w:rsidRPr="007F1195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</w:t>
      </w:r>
      <w:r w:rsidRPr="007F1195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3</w:t>
      </w:r>
      <w:r w:rsidRPr="007F1195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7F1195" w:rsidRPr="007F1195" w:rsidTr="007F1195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药剂学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03药物新制剂及产业化研究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180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药物分析学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180</w:t>
            </w:r>
          </w:p>
        </w:tc>
      </w:tr>
      <w:tr w:rsidR="007F1195" w:rsidRPr="007F1195" w:rsidTr="007F1195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微生物与生化药学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01 分子药理与生物信息学03 衰老与神经药理04 心血管与血液药理05 中药药理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120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1007Z1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临床药学</w:t>
            </w:r>
          </w:p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（备注1）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120</w:t>
            </w:r>
          </w:p>
        </w:tc>
      </w:tr>
      <w:tr w:rsidR="007F1195" w:rsidRPr="007F1195" w:rsidTr="007F1195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专业学位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所有方向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</w:tbl>
    <w:p w:rsidR="007F1195" w:rsidRPr="007F1195" w:rsidRDefault="007F1195" w:rsidP="007F1195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备注1：临床药学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1007Z1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英语水平达到CET-6者同等条件下优先录取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不符合我校调剂要求的考生，复试无效，后果自负！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请有意愿报考我校药学专业（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）、中药学专业（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1008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）和药学专业（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）的考生，于系统开放时间内填报志愿。</w:t>
      </w:r>
    </w:p>
    <w:p w:rsidR="007F1195" w:rsidRPr="007F1195" w:rsidRDefault="007F1195" w:rsidP="007F1195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9"/>
        <w:gridCol w:w="4393"/>
        <w:gridCol w:w="1754"/>
      </w:tblGrid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调剂专业及代码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调剂方向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调剂名额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药物化学专业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100701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9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药剂学专业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100702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03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药物新制剂及产业化研究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2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药物分析专业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100704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3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微生物与生化药学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100705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微生物与生化药学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2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微软雅黑" w:eastAsia="微软雅黑" w:hAnsi="微软雅黑" w:cs="宋体" w:hint="eastAsia"/>
                <w:color w:val="666666"/>
                <w:kern w:val="0"/>
                <w:sz w:val="20"/>
                <w:szCs w:val="20"/>
              </w:rPr>
              <w:t>药理学专业</w:t>
            </w:r>
          </w:p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lastRenderedPageBreak/>
              <w:t>100706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lastRenderedPageBreak/>
              <w:t>01 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分子药理与生物信息学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3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03 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衰老与神经药理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2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04 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心血管与血液药理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05 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中药药理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4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临床药学专业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1007Z1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00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中药学专业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100800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00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9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23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药学专业</w:t>
            </w: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105500</w:t>
            </w:r>
          </w:p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01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工业药学（制药化学）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14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02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工业药学（工业药剂学）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6</w:t>
            </w:r>
            <w:r w:rsidRPr="007F1195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7"/>
                <w:szCs w:val="17"/>
              </w:rPr>
              <w:t>（</w:t>
            </w:r>
            <w:r w:rsidRPr="007F1195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17"/>
                <w:szCs w:val="17"/>
              </w:rPr>
              <w:t>备注</w:t>
            </w:r>
            <w:r w:rsidRPr="007F1195">
              <w:rPr>
                <w:rFonts w:ascii="Times New Roman" w:eastAsia="微软雅黑" w:hAnsi="Times New Roman" w:cs="Times New Roman"/>
                <w:b/>
                <w:bCs/>
                <w:color w:val="666666"/>
                <w:kern w:val="0"/>
                <w:sz w:val="17"/>
                <w:szCs w:val="17"/>
              </w:rPr>
              <w:t>2</w:t>
            </w:r>
            <w:r w:rsidRPr="007F1195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7"/>
                <w:szCs w:val="17"/>
              </w:rPr>
              <w:t>）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03 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工业药学（药物质量控制）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7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04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工业药学（药物活性与</w:t>
            </w:r>
            <w:proofErr w:type="gramStart"/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体内过程</w:t>
            </w:r>
            <w:proofErr w:type="gramEnd"/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研究）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20</w:t>
            </w:r>
            <w:r w:rsidRPr="007F1195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15"/>
                <w:szCs w:val="15"/>
              </w:rPr>
              <w:t>（备注</w:t>
            </w:r>
            <w:r w:rsidRPr="007F1195">
              <w:rPr>
                <w:rFonts w:ascii="Times New Roman" w:eastAsia="微软雅黑" w:hAnsi="Times New Roman" w:cs="Times New Roman"/>
                <w:b/>
                <w:bCs/>
                <w:color w:val="666666"/>
                <w:kern w:val="0"/>
                <w:sz w:val="15"/>
                <w:szCs w:val="15"/>
              </w:rPr>
              <w:t>3</w:t>
            </w:r>
            <w:r w:rsidRPr="007F1195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15"/>
                <w:szCs w:val="15"/>
              </w:rPr>
              <w:t>）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05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05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工业药学（新药临床前评价）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3</w:t>
            </w:r>
          </w:p>
        </w:tc>
      </w:tr>
      <w:tr w:rsidR="007F1195" w:rsidRPr="007F1195" w:rsidTr="007F1195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195" w:rsidRPr="007F1195" w:rsidRDefault="007F1195" w:rsidP="007F1195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06</w:t>
            </w:r>
            <w:r w:rsidRPr="007F1195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工业药学（生物制药学）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1195" w:rsidRPr="007F1195" w:rsidRDefault="007F1195" w:rsidP="007F1195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F1195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2</w:t>
            </w:r>
          </w:p>
        </w:tc>
      </w:tr>
    </w:tbl>
    <w:p w:rsidR="007F1195" w:rsidRPr="007F1195" w:rsidRDefault="007F1195" w:rsidP="007F1195">
      <w:pPr>
        <w:widowControl/>
        <w:spacing w:before="225" w:after="225" w:line="510" w:lineRule="atLeast"/>
        <w:ind w:firstLine="64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备注</w:t>
      </w:r>
      <w:r w:rsidRPr="007F1195">
        <w:rPr>
          <w:rFonts w:ascii="Times New Roman" w:eastAsia="方正仿宋简体" w:hAnsi="Times New Roman" w:cs="Times New Roman"/>
          <w:b/>
          <w:bCs/>
          <w:color w:val="666666"/>
          <w:kern w:val="0"/>
          <w:sz w:val="32"/>
          <w:szCs w:val="32"/>
        </w:rPr>
        <w:t>2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：药学专业（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02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工业药学（工业药剂学），</w:t>
      </w:r>
      <w:proofErr w:type="gramStart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本方向</w:t>
      </w:r>
      <w:proofErr w:type="gramEnd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将按照初试成绩由高到</w:t>
      </w:r>
      <w:proofErr w:type="gramStart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低轮序分为</w:t>
      </w:r>
      <w:proofErr w:type="gramEnd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两组面试，调剂名额分别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和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，每组单独排序、复试、录取。</w:t>
      </w:r>
    </w:p>
    <w:p w:rsidR="007F1195" w:rsidRPr="007F1195" w:rsidRDefault="007F1195" w:rsidP="007F1195">
      <w:pPr>
        <w:widowControl/>
        <w:spacing w:before="225" w:after="225" w:line="510" w:lineRule="atLeast"/>
        <w:ind w:firstLine="64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备注</w:t>
      </w:r>
      <w:r w:rsidRPr="007F1195">
        <w:rPr>
          <w:rFonts w:ascii="Times New Roman" w:eastAsia="方正仿宋简体" w:hAnsi="Times New Roman" w:cs="Times New Roman"/>
          <w:b/>
          <w:bCs/>
          <w:color w:val="666666"/>
          <w:kern w:val="0"/>
          <w:sz w:val="32"/>
          <w:szCs w:val="32"/>
        </w:rPr>
        <w:t>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药学专业（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105500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04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工业药学（药物活性与</w:t>
      </w:r>
      <w:proofErr w:type="gramStart"/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体内过程</w:t>
      </w:r>
      <w:proofErr w:type="gramEnd"/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研究），</w:t>
      </w:r>
      <w:proofErr w:type="gramStart"/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本方向含</w:t>
      </w:r>
      <w:proofErr w:type="gramEnd"/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药学院调剂名额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12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人，心血管医学研究所调剂名额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8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人，分别组织复试。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其中药学院将按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lastRenderedPageBreak/>
        <w:t>照考生初试成绩由高到</w:t>
      </w:r>
      <w:proofErr w:type="gramStart"/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低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轮序分为</w:t>
      </w:r>
      <w:proofErr w:type="gramEnd"/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两组，调剂名额分别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6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人和</w:t>
      </w:r>
      <w:r w:rsidRPr="007F1195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6</w:t>
      </w:r>
      <w:r w:rsidRPr="007F1195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人，每组单独排序、面试、录取。</w:t>
      </w:r>
    </w:p>
    <w:p w:rsidR="007F1195" w:rsidRPr="007F1195" w:rsidRDefault="007F1195" w:rsidP="007F1195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7F1195" w:rsidRPr="007F1195" w:rsidRDefault="007F1195" w:rsidP="007F1195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F1195" w:rsidRPr="007F1195" w:rsidRDefault="007F1195" w:rsidP="007F1195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7F1195" w:rsidRPr="007F1195" w:rsidRDefault="007F1195" w:rsidP="007F1195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                                        2023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7F1195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5</w:t>
      </w:r>
      <w:r w:rsidRPr="007F1195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FB110C" w:rsidRPr="007F1195" w:rsidRDefault="00FB110C">
      <w:bookmarkStart w:id="0" w:name="_GoBack"/>
      <w:bookmarkEnd w:id="0"/>
    </w:p>
    <w:sectPr w:rsidR="00FB110C" w:rsidRPr="007F1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95"/>
    <w:rsid w:val="007F1195"/>
    <w:rsid w:val="00FB110C"/>
    <w:rsid w:val="00FE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F119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F119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F11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F11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F119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F119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F11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F11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88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2023-05-03T09:15:00Z</dcterms:created>
  <dcterms:modified xsi:type="dcterms:W3CDTF">2023-05-03T09:15:00Z</dcterms:modified>
</cp:coreProperties>
</file>